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69D" w:rsidRPr="00B8669D" w:rsidRDefault="00B8669D" w:rsidP="00B8669D">
      <w:pPr>
        <w:spacing w:before="120" w:after="0" w:line="340" w:lineRule="atLeast"/>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sz w:val="26"/>
          <w:szCs w:val="26"/>
        </w:rPr>
        <w:t>THẤU CHI VÀ CHO VAY QUA ĐÊM</w:t>
      </w:r>
    </w:p>
    <w:p w:rsidR="00B8669D" w:rsidRPr="00B8669D" w:rsidRDefault="00B8669D" w:rsidP="00B8669D">
      <w:pPr>
        <w:spacing w:before="60" w:after="0" w:line="340" w:lineRule="atLeast"/>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sz w:val="26"/>
          <w:szCs w:val="26"/>
        </w:rPr>
        <w:t>ÁP DỤNG TRONG THANH TOÁN ĐIỆN TỬ LIÊN NGÂN HÀNG</w:t>
      </w:r>
    </w:p>
    <w:p w:rsidR="00B8669D" w:rsidRPr="00B8669D" w:rsidRDefault="00B8669D" w:rsidP="00B8669D">
      <w:pPr>
        <w:shd w:val="clear" w:color="auto" w:fill="FFFFFF"/>
        <w:spacing w:after="0" w:line="240" w:lineRule="auto"/>
        <w:ind w:left="720"/>
        <w:rPr>
          <w:rFonts w:ascii="Times New Roman" w:eastAsia="Times New Roman" w:hAnsi="Times New Roman" w:cs="Times New Roman"/>
          <w:sz w:val="26"/>
          <w:szCs w:val="26"/>
        </w:rPr>
      </w:pPr>
      <w:r w:rsidRPr="00B8669D">
        <w:rPr>
          <w:rFonts w:ascii="Times New Roman" w:eastAsia="Times New Roman" w:hAnsi="Times New Roman" w:cs="Times New Roman"/>
          <w:b/>
          <w:bCs/>
          <w:sz w:val="26"/>
          <w:szCs w:val="26"/>
        </w:rPr>
        <w:t> </w:t>
      </w:r>
    </w:p>
    <w:p w:rsidR="00B8669D" w:rsidRPr="00B8669D" w:rsidRDefault="00B8669D" w:rsidP="00B8669D">
      <w:pPr>
        <w:pStyle w:val="Heading1"/>
      </w:pPr>
      <w:r w:rsidRPr="00B8669D">
        <w:t>1.</w:t>
      </w:r>
      <w:r w:rsidRPr="00B8669D">
        <w:rPr>
          <w:szCs w:val="14"/>
        </w:rPr>
        <w:t>    </w:t>
      </w:r>
      <w:r w:rsidRPr="00B8669D">
        <w:t> Khái niệm:</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Thấu chi trong TTLNH là việc các ngân hàng được chi vượt số dư có trên tài khoản tiền gửi thanh toán của mình tại Sở Giao dịch NHNN Việt Nam trong ngày thanh toán.</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Cho vay qua đêm trong TTLNH là hình thức tái cấp vốn của NHNN Việt Namđối với các ngân hàng.</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w:t>
      </w:r>
    </w:p>
    <w:p w:rsidR="00B8669D" w:rsidRDefault="00B8669D" w:rsidP="00B8669D">
      <w:pPr>
        <w:pStyle w:val="Heading1"/>
      </w:pPr>
      <w:r w:rsidRPr="00B8669D">
        <w:t>2. Phạm vi và đối tượng áp dụng: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Quy chế này quy định việc thấu chi và cho vay qua đêm của NHNN Việt Nam đối với các ngân hàng là thành viên trực tiếp tham gia hệ thống thanh toán điện tử liên ngân hàng (gọi tắt là ngân hàng) nhằm đáp ứng phần vốn thiếu hụt tạm thời trong TTLNH.</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 </w:t>
      </w:r>
    </w:p>
    <w:p w:rsidR="00B8669D" w:rsidRPr="00B8669D" w:rsidRDefault="00B8669D" w:rsidP="00B8669D">
      <w:pPr>
        <w:pStyle w:val="Heading1"/>
      </w:pPr>
      <w:r w:rsidRPr="00B8669D">
        <w:t>3. Mục đích:</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Mục đích thấu chi nhằm bù đắp thiếu hụt vốn thanh toán tạm thời trong ngày thanh toán điện tử liên ngân hàng.</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Mục đích cho vay qua đêm nhằm tất toán khoản thấu chi tại thời điểm cuối ngày làm việc.</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 </w:t>
      </w:r>
    </w:p>
    <w:p w:rsidR="00B8669D" w:rsidRPr="00B8669D" w:rsidRDefault="00B8669D" w:rsidP="00B8669D">
      <w:pPr>
        <w:pStyle w:val="Heading1"/>
      </w:pPr>
      <w:r w:rsidRPr="00B8669D">
        <w:t>4. Điều kiện thấu chi và cho vay qua đêm:</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Các ngân hàng là thành viên trực tiếp của hệ thống TTLNH, có tài sản cầm cố, có giấy đề nghị tham gia thấu chi và cho vay qua đêm áp dụng trong TTLNH.</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w:t>
      </w:r>
    </w:p>
    <w:p w:rsidR="00B8669D" w:rsidRPr="00B8669D" w:rsidRDefault="00B8669D" w:rsidP="00B8669D">
      <w:pPr>
        <w:pStyle w:val="Heading1"/>
      </w:pPr>
      <w:r w:rsidRPr="00B8669D">
        <w:t>5. Tài sản cầm cố (TSCC) và điều kiện chấp nhận đối với TSCC:</w:t>
      </w:r>
    </w:p>
    <w:p w:rsidR="00B8669D" w:rsidRPr="00B8669D" w:rsidRDefault="00B8669D" w:rsidP="00B8669D">
      <w:pPr>
        <w:shd w:val="clear" w:color="auto" w:fill="FFFFFF"/>
        <w:spacing w:after="0" w:line="240" w:lineRule="auto"/>
        <w:ind w:left="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TSCC gồm:</w:t>
      </w:r>
    </w:p>
    <w:p w:rsidR="00B8669D" w:rsidRPr="00B8669D" w:rsidRDefault="00B8669D" w:rsidP="00B8669D">
      <w:pPr>
        <w:shd w:val="clear" w:color="auto" w:fill="FFFFFF"/>
        <w:spacing w:after="0" w:line="240" w:lineRule="auto"/>
        <w:ind w:left="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Tín phiếu NHNN;</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Trái phiếu Chính phủ (tín phiếu kho bạc, trái phiếu kho bạc, trái phiếu công trình TW, trái phiếu đầu tư do Quỹ Hỗ trợ phát triển phát hành, công trái, trái phiếu ngoại tệ);</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Trái phiếu chính quyền địa phương do Uỷ ban nhân dân thành phố Hồ Chí Minh, thành phố Hà nội phát hành;</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Các GTCG khác được sử dụng làm tài sản cầm cố do Thống đốc NHNN quy định trong từng thời kỳ.</w:t>
      </w:r>
    </w:p>
    <w:p w:rsidR="00B8669D" w:rsidRPr="00B8669D" w:rsidRDefault="00B8669D" w:rsidP="00B8669D">
      <w:pPr>
        <w:shd w:val="clear" w:color="auto" w:fill="FFFFFF"/>
        <w:spacing w:after="0" w:line="240" w:lineRule="auto"/>
        <w:ind w:left="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Điều kiện chấp nhận đối với tài sản cầm cố (TSCC):</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Ngân hàng xin vay là người thụ hưởng (đối với GTCG ghi danh) hoặc là người nắm giữ hợp pháp (đối với GTCG vô danh);</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GTCG nói trên có thời hạn còn lại tối thiểu là 10 ngày;</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Được cầm cố, thanh toán cho NHNN với tư cách là người thứ 3 theo quy định của pháp luật và cam kết của người thụ hưởng;</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lastRenderedPageBreak/>
        <w:t>+ Trường hợp GTCG ghi sổ phải có xác nhận và bảo đảm của tổ chức có trác nhiệm thanh toán đối với GTCG đó về việc sẽ thanh toán cho NHNN Việt Nam khi các ngân hàng có nợ đến hạn chưa thanh toán;</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 </w:t>
      </w:r>
    </w:p>
    <w:p w:rsidR="00B8669D" w:rsidRPr="00B8669D" w:rsidRDefault="00B8669D" w:rsidP="00B8669D">
      <w:pPr>
        <w:pStyle w:val="Heading1"/>
      </w:pPr>
      <w:r w:rsidRPr="00B8669D">
        <w:t>6. Mức thấu chi và cho vay qua đêm:</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Mức thấu chi bằng phần vốn thanh toán thiếu hụt thực tế trong giao dịch TTLNH, nhưng tổng mức thấu chi không vượt quá 95% giá trị GTCG cầm cố.</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Mức cho vay qua đêm bằng số dư thấu chi thực tế tại thời điểm cuối ngày làm việc nhưng không vượt quá 95% giá trị GTCG cầm cố.</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 </w:t>
      </w:r>
    </w:p>
    <w:p w:rsidR="00B8669D" w:rsidRPr="00B8669D" w:rsidRDefault="00B8669D" w:rsidP="00B8669D">
      <w:pPr>
        <w:pStyle w:val="Heading1"/>
      </w:pPr>
      <w:r w:rsidRPr="00B8669D">
        <w:t>7. Lãi suất cho vay qua đêm:</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Mức lãi suất cho vay qua đêm do Thống đốc NHNN Việt Nam quy định phù hợp với mục tiêu chính sách tiền tệ trong từng thời kỳ.</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 </w:t>
      </w:r>
    </w:p>
    <w:p w:rsidR="00B8669D" w:rsidRPr="00B8669D" w:rsidRDefault="00B8669D" w:rsidP="00B8669D">
      <w:pPr>
        <w:pStyle w:val="Heading1"/>
      </w:pPr>
      <w:r w:rsidRPr="00B8669D">
        <w:t>8. Xác định giá trị GTCG cầm cố:</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Giá trị của GTCG cầm cố được định giá theo hình thức chiết khấu tại thời điểm định giá và theo công thức sau:</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Gt</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G =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Ls x n</w:t>
      </w:r>
    </w:p>
    <w:p w:rsidR="00B8669D" w:rsidRPr="00B8669D" w:rsidRDefault="00B8669D" w:rsidP="00B8669D">
      <w:pPr>
        <w:shd w:val="clear" w:color="auto" w:fill="FFFFFF"/>
        <w:spacing w:after="0" w:line="240" w:lineRule="auto"/>
        <w:ind w:left="720"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1+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365 x 100</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Trong đó:</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G: Giá trị của GTCG tại thời điểm định giá;</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Gt: Giá trị GTCG khi đến hạn thanh toán;</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Lc: Lãi suất chiết khấu (tính theo %/năm) do NHNN công bố tại thời điểm định giá;</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n: Thời hạn còn lại (tính theo ngày) của GTCG tính từ ngày định giá đến ngày đến hạn thanh toán của GTCG;</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- 365: Số ngày quy ước cho 1 năm.</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 </w:t>
      </w:r>
    </w:p>
    <w:p w:rsidR="00B8669D" w:rsidRPr="00B8669D" w:rsidRDefault="00B8669D" w:rsidP="00B8669D">
      <w:pPr>
        <w:pStyle w:val="Heading1"/>
      </w:pPr>
      <w:r w:rsidRPr="00B8669D">
        <w:t>9. Quy trình thực hiện:</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Ngân hàng đăng ký tham gia thấu chi và cho vay qua đêm với NHNN; sau đó thực hiện cầm cố GTCG tại NHNN để thiết lập hạn mức thấu chi và vay qua đêm;</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Sở Giao dịch NHNN tiếp nhận đăng ký của các ngân hàng, nhận và giải phóng TSCC của các ngân hàng (từ 8h đến 15h30 trong tất cả các ngày làm việc) và xác định hạn mức thấu chi và cho vay qua đêm đầu ngày (8h đến 8h30), sau đó hạn mức được thay đổi sau mỗi lần có phát sinh thấu chi; Việc thấu chi được thực hiện tự động trong phạm vi hạn mức đã xác định.</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Sở Giao dịch NHNN thực hiện cho vay qua đêm (tự động) để tất toán khoản thấu chi cuối ngày. (sau 15h30) đồng thời gửi thông báo cho vay qua đêm cho Ngân hàng;</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lastRenderedPageBreak/>
        <w:t>- Ngân hàng lập và gửi cho Sở Giao dịch giấy nhận nợ vay qua đêm (sau khi nhận được thông báo cho vay qua đêm) và sáng ngày làm việc tiếp theo thực hiện trả nợ hoặc yêu cầu chuyển sang thấu chi trong ngày.</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 </w:t>
      </w:r>
    </w:p>
    <w:p w:rsidR="00B8669D" w:rsidRPr="00B8669D" w:rsidRDefault="00B8669D" w:rsidP="00B8669D">
      <w:pPr>
        <w:pStyle w:val="Heading1"/>
      </w:pPr>
      <w:r w:rsidRPr="00B8669D">
        <w:t>10. Xử lý vi phạm:</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Tường hợp sau 02 ngày làm việc tiếp theo kể từ ngày khoản cho vay qua đêm phát sinh, ngân hàng không thanh toán hết nợ vay qua đêm, NHNN thông báo yêu cầu NH trả nợ. Nếu sau 02 ngày làm việc tiếp theo kể từ ngày thông báo mà NH vẫn không trả hết nợ vay qua đêm, thì NHNN xử lý tài sản cầm cố để thu nợ  và xem xét xoá tên NH đó trên hệ thống thanh toán điện tử liên ngân hàng.</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w:t>
      </w:r>
    </w:p>
    <w:p w:rsidR="00B8669D" w:rsidRPr="00B8669D" w:rsidRDefault="00B8669D" w:rsidP="00B8669D">
      <w:pPr>
        <w:shd w:val="clear" w:color="auto" w:fill="FFFFFF"/>
        <w:spacing w:after="0" w:line="240" w:lineRule="auto"/>
        <w:jc w:val="center"/>
        <w:rPr>
          <w:rFonts w:ascii="Times New Roman" w:eastAsia="Times New Roman" w:hAnsi="Times New Roman" w:cs="Times New Roman"/>
          <w:sz w:val="32"/>
          <w:szCs w:val="32"/>
        </w:rPr>
      </w:pPr>
      <w:r w:rsidRPr="00B8669D">
        <w:rPr>
          <w:rFonts w:ascii="Times New Roman" w:eastAsia="Times New Roman" w:hAnsi="Times New Roman" w:cs="Times New Roman"/>
          <w:b/>
          <w:bCs/>
          <w:sz w:val="32"/>
          <w:szCs w:val="32"/>
        </w:rPr>
        <w:t>Hạn mức nợ ròng</w:t>
      </w:r>
    </w:p>
    <w:p w:rsidR="00B8669D" w:rsidRPr="00B8669D" w:rsidRDefault="00B8669D" w:rsidP="00B8669D">
      <w:pPr>
        <w:shd w:val="clear" w:color="auto" w:fill="FFFFFF"/>
        <w:spacing w:after="0" w:line="240" w:lineRule="auto"/>
        <w:rPr>
          <w:rFonts w:ascii="Times New Roman" w:eastAsia="Times New Roman" w:hAnsi="Times New Roman" w:cs="Times New Roman"/>
          <w:sz w:val="26"/>
          <w:szCs w:val="26"/>
        </w:rPr>
      </w:pPr>
      <w:r w:rsidRPr="00B8669D">
        <w:rPr>
          <w:rFonts w:ascii="Times New Roman" w:eastAsia="Times New Roman" w:hAnsi="Times New Roman" w:cs="Times New Roman"/>
          <w:b/>
          <w:bCs/>
          <w:sz w:val="26"/>
          <w:szCs w:val="26"/>
        </w:rPr>
        <w:t>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Ngoài ra, để việc thanh toán điện tử được thực hiện nhanh chóng và thuận lợi, NHNN cho phép các thành viên tham gia quyết toán bù trừ giá trị thấp được cầm cố GTCG để thiết lập hạn mức nợ ròng (HMNR).</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NHNN hướng dẫn việc thiết lập, sử dụng và quản lý HMNR tại Công văn số 1504/CV-SGD ngày 07/8/2003. Cụ thể các quy định như sau:</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w:t>
      </w:r>
    </w:p>
    <w:p w:rsidR="00B8669D" w:rsidRPr="00B8669D" w:rsidRDefault="00B8669D" w:rsidP="00B8669D">
      <w:pPr>
        <w:shd w:val="clear" w:color="auto" w:fill="FFFFFF"/>
        <w:spacing w:after="0" w:line="240" w:lineRule="auto"/>
        <w:ind w:left="1080" w:hanging="360"/>
        <w:rPr>
          <w:rFonts w:ascii="Times New Roman" w:eastAsia="Times New Roman" w:hAnsi="Times New Roman" w:cs="Times New Roman"/>
          <w:sz w:val="26"/>
          <w:szCs w:val="26"/>
        </w:rPr>
      </w:pPr>
      <w:r w:rsidRPr="00B8669D">
        <w:rPr>
          <w:rFonts w:ascii="Times New Roman" w:eastAsia="Times New Roman" w:hAnsi="Times New Roman" w:cs="Times New Roman"/>
          <w:b/>
          <w:bCs/>
          <w:sz w:val="26"/>
          <w:szCs w:val="26"/>
        </w:rPr>
        <w:t>1.</w:t>
      </w:r>
      <w:r w:rsidRPr="00B8669D">
        <w:rPr>
          <w:rFonts w:ascii="Times New Roman" w:eastAsia="Times New Roman" w:hAnsi="Times New Roman" w:cs="Times New Roman"/>
          <w:sz w:val="26"/>
          <w:szCs w:val="26"/>
        </w:rPr>
        <w:t>     </w:t>
      </w:r>
      <w:r w:rsidRPr="00B8669D">
        <w:rPr>
          <w:rFonts w:ascii="Times New Roman" w:eastAsia="Times New Roman" w:hAnsi="Times New Roman" w:cs="Times New Roman"/>
          <w:b/>
          <w:bCs/>
          <w:sz w:val="26"/>
          <w:szCs w:val="26"/>
        </w:rPr>
        <w:t>Thiết lập hạn mức nợ ròng:</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Thành viên trực tiếp tự thiết lập và gửi HMNR cho NHNN (định kỳ gửi cho NHNN là từ 01 đến 05 của tháng 1 và tháng 7 hàng năm).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Công thức tính HMNR:</w:t>
      </w:r>
    </w:p>
    <w:p w:rsidR="00B8669D" w:rsidRPr="00B8669D" w:rsidRDefault="00B8669D" w:rsidP="00B8669D">
      <w:pPr>
        <w:shd w:val="clear" w:color="auto" w:fill="FFFFFF"/>
        <w:spacing w:after="0" w:line="240" w:lineRule="auto"/>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HMNR bình quân</w:t>
      </w:r>
      <w:r w:rsidRPr="00B8669D">
        <w:rPr>
          <w:rFonts w:ascii="Times New Roman" w:eastAsia="Times New Roman" w:hAnsi="Times New Roman" w:cs="Times New Roman"/>
          <w:sz w:val="26"/>
          <w:szCs w:val="26"/>
        </w:rPr>
        <w:t> Tổng giá trị các khoản phải trả       Tổng giá trị các khoản phải thu</w:t>
      </w:r>
    </w:p>
    <w:p w:rsidR="00B8669D" w:rsidRPr="00B8669D" w:rsidRDefault="00B8669D" w:rsidP="00B8669D">
      <w:pPr>
        <w:shd w:val="clear" w:color="auto" w:fill="FFFFFF"/>
        <w:spacing w:after="0" w:line="240" w:lineRule="auto"/>
        <w:ind w:left="216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về thanh toán giá trị thấp -   về thanh toán giá trị thấp trong 6 tháng kỳ trước                           trong  6 tháng kỳ trước</w:t>
      </w:r>
    </w:p>
    <w:p w:rsidR="00B8669D" w:rsidRPr="00B8669D" w:rsidRDefault="00B8669D" w:rsidP="00B8669D">
      <w:pPr>
        <w:shd w:val="clear" w:color="auto" w:fill="FFFFFF"/>
        <w:spacing w:after="0" w:line="240" w:lineRule="auto"/>
        <w:ind w:left="720"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w:t>
      </w:r>
      <w:r w:rsidRPr="00B8669D">
        <w:rPr>
          <w:rFonts w:ascii="Times New Roman" w:eastAsia="Times New Roman" w:hAnsi="Times New Roman" w:cs="Times New Roman"/>
          <w:b/>
          <w:bCs/>
          <w:sz w:val="26"/>
          <w:szCs w:val="26"/>
        </w:rPr>
        <w:t>=</w:t>
      </w:r>
      <w:r w:rsidRPr="00B8669D">
        <w:rPr>
          <w:rFonts w:ascii="Times New Roman" w:eastAsia="Times New Roman" w:hAnsi="Times New Roman" w:cs="Times New Roman"/>
          <w:sz w:val="26"/>
          <w:szCs w:val="26"/>
        </w:rPr>
        <w:t>  -------------------------------------------------------------</w:t>
      </w:r>
    </w:p>
    <w:p w:rsidR="00B8669D" w:rsidRPr="00B8669D" w:rsidRDefault="00B8669D" w:rsidP="00B8669D">
      <w:pPr>
        <w:spacing w:before="60" w:after="0" w:line="340" w:lineRule="atLeast"/>
        <w:rPr>
          <w:rFonts w:ascii="Times New Roman" w:eastAsia="Times New Roman" w:hAnsi="Times New Roman" w:cs="Times New Roman"/>
          <w:sz w:val="26"/>
          <w:szCs w:val="26"/>
        </w:rPr>
      </w:pPr>
      <w:r w:rsidRPr="00B8669D">
        <w:rPr>
          <w:rFonts w:ascii="Times New Roman" w:eastAsia="Times New Roman" w:hAnsi="Times New Roman" w:cs="Times New Roman"/>
          <w:b/>
          <w:bCs/>
          <w:i/>
          <w:iCs/>
          <w:sz w:val="26"/>
          <w:szCs w:val="26"/>
        </w:rPr>
        <w:t>1 ngày trong kỳ</w:t>
      </w:r>
      <w:r w:rsidRPr="00B8669D">
        <w:rPr>
          <w:rFonts w:ascii="Times New Roman" w:eastAsia="Times New Roman" w:hAnsi="Times New Roman" w:cs="Times New Roman"/>
          <w:b/>
          <w:bCs/>
          <w:sz w:val="26"/>
          <w:szCs w:val="26"/>
        </w:rPr>
        <w:t>                                            </w:t>
      </w:r>
      <w:r w:rsidRPr="00B8669D">
        <w:rPr>
          <w:rFonts w:ascii="Times New Roman" w:eastAsia="Times New Roman" w:hAnsi="Times New Roman" w:cs="Times New Roman"/>
          <w:sz w:val="26"/>
          <w:szCs w:val="26"/>
        </w:rPr>
        <w:t>180 ngày</w:t>
      </w:r>
    </w:p>
    <w:p w:rsidR="00B8669D" w:rsidRPr="00B8669D" w:rsidRDefault="00B8669D" w:rsidP="00B8669D">
      <w:pPr>
        <w:spacing w:before="60" w:after="0" w:line="340" w:lineRule="atLeast"/>
        <w:ind w:left="720"/>
        <w:rPr>
          <w:rFonts w:ascii="Times New Roman" w:eastAsia="Times New Roman" w:hAnsi="Times New Roman" w:cs="Times New Roman"/>
          <w:sz w:val="26"/>
          <w:szCs w:val="26"/>
        </w:rPr>
      </w:pPr>
      <w:r w:rsidRPr="00B8669D">
        <w:rPr>
          <w:rFonts w:ascii="Times New Roman" w:eastAsia="Times New Roman" w:hAnsi="Times New Roman" w:cs="Times New Roman"/>
          <w:b/>
          <w:bCs/>
          <w:sz w:val="26"/>
          <w:szCs w:val="26"/>
        </w:rPr>
        <w:t>- Ký quỹ GTCG</w:t>
      </w:r>
      <w:r w:rsidRPr="00B8669D">
        <w:rPr>
          <w:rFonts w:ascii="Times New Roman" w:eastAsia="Times New Roman" w:hAnsi="Times New Roman" w:cs="Times New Roman"/>
          <w:sz w:val="26"/>
          <w:szCs w:val="26"/>
        </w:rPr>
        <w:t>: Để được thông báo HMNR, NH phải ký quỹ bằng GTCG tại NHNN. Giá trị GTCG ký quỹ (giá trị GTCG tại thời điểm NHNN định giá) tối thiểu bằng 10% HMNR.</w:t>
      </w:r>
    </w:p>
    <w:p w:rsidR="00B8669D" w:rsidRPr="00B8669D" w:rsidRDefault="00B8669D" w:rsidP="00B8669D">
      <w:pPr>
        <w:spacing w:before="60" w:after="0" w:line="340" w:lineRule="atLeast"/>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Các loại GTCG được ký quỹ để thiết lập HMNR gồm: Tín phiếu NHNN, tín, trái phiếu Kho bạc, trái phiếu công trình TW, công trái.</w:t>
      </w:r>
    </w:p>
    <w:p w:rsidR="00B8669D" w:rsidRPr="00B8669D" w:rsidRDefault="00B8669D" w:rsidP="00B8669D">
      <w:pPr>
        <w:spacing w:before="60" w:after="0" w:line="340" w:lineRule="atLeast"/>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Công thức xác định giá trị GTCG tại thời điểm định giá:</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Gt</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G =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Ls x n</w:t>
      </w:r>
    </w:p>
    <w:p w:rsidR="00B8669D" w:rsidRPr="00B8669D" w:rsidRDefault="00B8669D" w:rsidP="00B8669D">
      <w:pPr>
        <w:shd w:val="clear" w:color="auto" w:fill="FFFFFF"/>
        <w:spacing w:after="0" w:line="240" w:lineRule="auto"/>
        <w:ind w:left="720"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1+ ----------</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365 x 100</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Trong đó:</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lastRenderedPageBreak/>
        <w:t>G: Giá trị của GTCG tại thời điểm định giá;</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Gt: Giá trị GTCG khi đến hạn thanh toán;</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Lc: Lãi suất chiết khấu (tính theo %/năm) do NHNN công bố tại thời điểm định giá;</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n: Thời hạn còn lại (tính theo ngày) của GTCG tính từ ngày định giá đến ngày đến hạn thanh toán của GTCG;</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365: Số ngày quy ước cho 1 năm.</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b/>
          <w:bCs/>
          <w:sz w:val="26"/>
          <w:szCs w:val="26"/>
        </w:rPr>
        <w:t>- Tài sản ký quỹ gồm các loại GTCG sau:</w:t>
      </w:r>
      <w:r w:rsidRPr="00B8669D">
        <w:rPr>
          <w:rFonts w:ascii="Times New Roman" w:eastAsia="Times New Roman" w:hAnsi="Times New Roman" w:cs="Times New Roman"/>
          <w:sz w:val="26"/>
          <w:szCs w:val="26"/>
        </w:rPr>
        <w:t> tín phiếu NHNN, tín phiếu Kho bạc,</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Địa điểm ký quỹ: Tại Sở Giao dịch NHNN.</w:t>
      </w:r>
    </w:p>
    <w:p w:rsidR="00B8669D" w:rsidRPr="00B8669D" w:rsidRDefault="00B8669D" w:rsidP="00B8669D">
      <w:pPr>
        <w:shd w:val="clear" w:color="auto" w:fill="FFFFFF"/>
        <w:spacing w:after="0" w:line="240" w:lineRule="auto"/>
        <w:ind w:left="720"/>
        <w:rPr>
          <w:rFonts w:ascii="Times New Roman" w:eastAsia="Times New Roman" w:hAnsi="Times New Roman" w:cs="Times New Roman"/>
          <w:sz w:val="26"/>
          <w:szCs w:val="26"/>
        </w:rPr>
      </w:pPr>
      <w:r w:rsidRPr="00B8669D">
        <w:rPr>
          <w:rFonts w:ascii="Times New Roman" w:eastAsia="Times New Roman" w:hAnsi="Times New Roman" w:cs="Times New Roman"/>
          <w:b/>
          <w:bCs/>
          <w:sz w:val="26"/>
          <w:szCs w:val="26"/>
        </w:rPr>
        <w:t>- Quản lý và điều chỉnh HMNR</w:t>
      </w:r>
      <w:r w:rsidRPr="00B8669D">
        <w:rPr>
          <w:rFonts w:ascii="Times New Roman" w:eastAsia="Times New Roman" w:hAnsi="Times New Roman" w:cs="Times New Roman"/>
          <w:sz w:val="26"/>
          <w:szCs w:val="26"/>
        </w:rPr>
        <w:t>:</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HMNR đầu ngày: vào đầu ngày làm việc Sở Giao dịch cập nhật HMNR và truyền cho các trung tâm thanh toán tỉnh, thành phố.</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HMNR hiện thời: Trong ngày làm việc, HMNR có thể thay đổi (tăng hoặc giảm) phụ thuộc vào các giao dịch thanh toán của các thành viên vì vậy, cứ sau 10 giây, chương trình tự động cập nhật HMNR hiện thời.</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Công thức tính giá trị HMNR hiện thời như sau:</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HMNR hiện thời = (HMNRđầu ngày +  Giá trị các khoản phải thu giá trị thấp –</w:t>
      </w:r>
    </w:p>
    <w:p w:rsidR="00B8669D" w:rsidRPr="00B8669D" w:rsidRDefault="00B8669D" w:rsidP="00B8669D">
      <w:pPr>
        <w:shd w:val="clear" w:color="auto" w:fill="FFFFFF"/>
        <w:spacing w:after="0" w:line="240" w:lineRule="auto"/>
        <w:ind w:left="4680" w:hanging="36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          Giá trị các khoản phải trả giá trị thấp)</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Sở Giao dịch có thể yêu cầu thành viên điều chỉnh HMNR nếu thầy hạn mức quá nhỏ hoặc quá lớn; Thành viên cũng có thể đề nghị Sở Giao dịch điều chỉnh nếu thiếu HMNR trong quyết toán bù trừ.</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Các đề nghị thay đổi HMNR của thành viên trước 15 h của các ngày làm việc được điều chỉnh trong ngày.</w:t>
      </w:r>
    </w:p>
    <w:p w:rsidR="00B8669D" w:rsidRPr="00B8669D" w:rsidRDefault="00B8669D" w:rsidP="00B8669D">
      <w:pPr>
        <w:shd w:val="clear" w:color="auto" w:fill="FFFFFF"/>
        <w:spacing w:after="0" w:line="240" w:lineRule="auto"/>
        <w:ind w:firstLine="720"/>
        <w:rPr>
          <w:rFonts w:ascii="Times New Roman" w:eastAsia="Times New Roman" w:hAnsi="Times New Roman" w:cs="Times New Roman"/>
          <w:sz w:val="26"/>
          <w:szCs w:val="26"/>
        </w:rPr>
      </w:pPr>
      <w:r w:rsidRPr="00B8669D">
        <w:rPr>
          <w:rFonts w:ascii="Times New Roman" w:eastAsia="Times New Roman" w:hAnsi="Times New Roman" w:cs="Times New Roman"/>
          <w:sz w:val="26"/>
          <w:szCs w:val="26"/>
        </w:rPr>
        <w:t>Thành viên không được thanh toán vượt HMNR; Trường hợp nếu thiếu HMNR, Thành viên thông báo cho khách hàng và NHNN (Sở Giao dịch và Cục Công nghệ tin học ngân hàng) biết đồng thời thực hiện các biện pháp để xử lý.</w:t>
      </w:r>
    </w:p>
    <w:p w:rsidR="00DE18E4" w:rsidRPr="00B8669D" w:rsidRDefault="00B8669D" w:rsidP="00B8669D">
      <w:pPr>
        <w:rPr>
          <w:rFonts w:ascii="Times New Roman" w:hAnsi="Times New Roman" w:cs="Times New Roman"/>
          <w:sz w:val="26"/>
          <w:szCs w:val="26"/>
        </w:rPr>
      </w:pPr>
      <w:r w:rsidRPr="00B8669D">
        <w:rPr>
          <w:rFonts w:ascii="Times New Roman" w:eastAsia="Times New Roman" w:hAnsi="Times New Roman" w:cs="Times New Roman"/>
          <w:sz w:val="26"/>
          <w:szCs w:val="26"/>
        </w:rPr>
        <w:t> Cuối ngày làm việc, nếu thành viên đã sử dụng tất cả các nguồn nhưng không đủ vốn để thanh toán, NHNN cho thành viên vay qua đêm với số tiền vay tối đa bằng mức thấu chi và vay qua đêm được xác định</w:t>
      </w:r>
    </w:p>
    <w:sectPr w:rsidR="00DE18E4" w:rsidRPr="00B8669D" w:rsidSect="00DE18E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0F7" w:rsidRDefault="005B50F7" w:rsidP="00B8669D">
      <w:pPr>
        <w:spacing w:after="0" w:line="240" w:lineRule="auto"/>
      </w:pPr>
      <w:r>
        <w:separator/>
      </w:r>
    </w:p>
  </w:endnote>
  <w:endnote w:type="continuationSeparator" w:id="1">
    <w:p w:rsidR="005B50F7" w:rsidRDefault="005B50F7" w:rsidP="00B86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9D" w:rsidRDefault="00B866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765"/>
      <w:docPartObj>
        <w:docPartGallery w:val="Page Numbers (Bottom of Page)"/>
        <w:docPartUnique/>
      </w:docPartObj>
    </w:sdtPr>
    <w:sdtContent>
      <w:p w:rsidR="00B8669D" w:rsidRDefault="00B8669D">
        <w:pPr>
          <w:pStyle w:val="Footer"/>
          <w:jc w:val="center"/>
        </w:pPr>
        <w:fldSimple w:instr=" PAGE   \* MERGEFORMAT ">
          <w:r>
            <w:rPr>
              <w:noProof/>
            </w:rPr>
            <w:t>3</w:t>
          </w:r>
        </w:fldSimple>
      </w:p>
    </w:sdtContent>
  </w:sdt>
  <w:p w:rsidR="00B8669D" w:rsidRDefault="00B8669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9D" w:rsidRDefault="00B866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0F7" w:rsidRDefault="005B50F7" w:rsidP="00B8669D">
      <w:pPr>
        <w:spacing w:after="0" w:line="240" w:lineRule="auto"/>
      </w:pPr>
      <w:r>
        <w:separator/>
      </w:r>
    </w:p>
  </w:footnote>
  <w:footnote w:type="continuationSeparator" w:id="1">
    <w:p w:rsidR="005B50F7" w:rsidRDefault="005B50F7" w:rsidP="00B86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9D" w:rsidRDefault="00B8669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9D" w:rsidRDefault="00B866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9D" w:rsidRDefault="00B8669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B8669D"/>
    <w:rsid w:val="005B50F7"/>
    <w:rsid w:val="00B8669D"/>
    <w:rsid w:val="00DE18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8E4"/>
  </w:style>
  <w:style w:type="paragraph" w:styleId="Heading1">
    <w:name w:val="heading 1"/>
    <w:basedOn w:val="Normal"/>
    <w:next w:val="Normal"/>
    <w:link w:val="Heading1Char"/>
    <w:uiPriority w:val="9"/>
    <w:qFormat/>
    <w:rsid w:val="00B8669D"/>
    <w:pPr>
      <w:shd w:val="clear" w:color="auto" w:fill="FFFFFF"/>
      <w:spacing w:after="0" w:line="240" w:lineRule="auto"/>
      <w:ind w:left="1080" w:hanging="360"/>
      <w:outlineLvl w:val="0"/>
    </w:pPr>
    <w:rPr>
      <w:rFonts w:ascii="Times New Roman" w:eastAsia="Times New Roman" w:hAnsi="Times New Roman" w:cs="Times New Roman"/>
      <w:b/>
      <w:bCs/>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B866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B8669D"/>
    <w:rPr>
      <w:rFonts w:ascii="Times New Roman" w:eastAsia="Times New Roman" w:hAnsi="Times New Roman" w:cs="Times New Roman"/>
      <w:sz w:val="24"/>
      <w:szCs w:val="24"/>
    </w:rPr>
  </w:style>
  <w:style w:type="paragraph" w:styleId="NormalWeb">
    <w:name w:val="Normal (Web)"/>
    <w:basedOn w:val="Normal"/>
    <w:uiPriority w:val="99"/>
    <w:unhideWhenUsed/>
    <w:rsid w:val="00B866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8669D"/>
  </w:style>
  <w:style w:type="character" w:customStyle="1" w:styleId="Heading1Char">
    <w:name w:val="Heading 1 Char"/>
    <w:basedOn w:val="DefaultParagraphFont"/>
    <w:link w:val="Heading1"/>
    <w:uiPriority w:val="9"/>
    <w:rsid w:val="00B8669D"/>
    <w:rPr>
      <w:rFonts w:ascii="Times New Roman" w:eastAsia="Times New Roman" w:hAnsi="Times New Roman" w:cs="Times New Roman"/>
      <w:b/>
      <w:bCs/>
      <w:iCs/>
      <w:sz w:val="26"/>
      <w:szCs w:val="26"/>
      <w:shd w:val="clear" w:color="auto" w:fill="FFFFFF"/>
    </w:rPr>
  </w:style>
  <w:style w:type="paragraph" w:styleId="Header">
    <w:name w:val="header"/>
    <w:basedOn w:val="Normal"/>
    <w:link w:val="HeaderChar"/>
    <w:uiPriority w:val="99"/>
    <w:semiHidden/>
    <w:unhideWhenUsed/>
    <w:rsid w:val="00B866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669D"/>
  </w:style>
  <w:style w:type="paragraph" w:styleId="Footer">
    <w:name w:val="footer"/>
    <w:basedOn w:val="Normal"/>
    <w:link w:val="FooterChar"/>
    <w:uiPriority w:val="99"/>
    <w:unhideWhenUsed/>
    <w:rsid w:val="00B866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669D"/>
  </w:style>
</w:styles>
</file>

<file path=word/webSettings.xml><?xml version="1.0" encoding="utf-8"?>
<w:webSettings xmlns:r="http://schemas.openxmlformats.org/officeDocument/2006/relationships" xmlns:w="http://schemas.openxmlformats.org/wordprocessingml/2006/main">
  <w:divs>
    <w:div w:id="238486472">
      <w:bodyDiv w:val="1"/>
      <w:marLeft w:val="0"/>
      <w:marRight w:val="0"/>
      <w:marTop w:val="0"/>
      <w:marBottom w:val="0"/>
      <w:divBdr>
        <w:top w:val="none" w:sz="0" w:space="0" w:color="auto"/>
        <w:left w:val="none" w:sz="0" w:space="0" w:color="auto"/>
        <w:bottom w:val="none" w:sz="0" w:space="0" w:color="auto"/>
        <w:right w:val="none" w:sz="0" w:space="0" w:color="auto"/>
      </w:divBdr>
      <w:divsChild>
        <w:div w:id="695812458">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1108</Words>
  <Characters>6320</Characters>
  <Application>Microsoft Office Word</Application>
  <DocSecurity>0</DocSecurity>
  <Lines>52</Lines>
  <Paragraphs>14</Paragraphs>
  <ScaleCrop>false</ScaleCrop>
  <Company/>
  <LinksUpToDate>false</LinksUpToDate>
  <CharactersWithSpaces>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Forever</cp:lastModifiedBy>
  <cp:revision>1</cp:revision>
  <dcterms:created xsi:type="dcterms:W3CDTF">2011-12-02T11:18:00Z</dcterms:created>
  <dcterms:modified xsi:type="dcterms:W3CDTF">2011-12-02T11:20:00Z</dcterms:modified>
</cp:coreProperties>
</file>